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49422" w14:textId="77777777" w:rsidR="00A967B9" w:rsidRDefault="00000000">
      <w:pPr>
        <w:jc w:val="center"/>
        <w:rPr>
          <w:sz w:val="22"/>
          <w:szCs w:val="22"/>
        </w:rPr>
      </w:pPr>
      <w:r>
        <w:rPr>
          <w:sz w:val="22"/>
          <w:szCs w:val="22"/>
        </w:rPr>
        <w:t>COMUNICATO STAMPA</w:t>
      </w:r>
    </w:p>
    <w:p w14:paraId="70639AEA" w14:textId="77777777" w:rsidR="00A967B9" w:rsidRDefault="00A967B9">
      <w:pPr>
        <w:jc w:val="center"/>
        <w:rPr>
          <w:sz w:val="22"/>
          <w:szCs w:val="22"/>
        </w:rPr>
      </w:pPr>
    </w:p>
    <w:p w14:paraId="383AF68D" w14:textId="77777777" w:rsidR="00A967B9" w:rsidRDefault="00000000">
      <w:pPr>
        <w:jc w:val="center"/>
        <w:rPr>
          <w:b/>
          <w:sz w:val="30"/>
          <w:szCs w:val="30"/>
        </w:rPr>
      </w:pPr>
      <w:r>
        <w:rPr>
          <w:b/>
          <w:sz w:val="30"/>
          <w:szCs w:val="30"/>
        </w:rPr>
        <w:t>Infrastrutture, Manelli Impresa gestirà i lavori di</w:t>
      </w:r>
    </w:p>
    <w:p w14:paraId="491141AF" w14:textId="3DBDC585" w:rsidR="00A967B9" w:rsidRDefault="00000000">
      <w:pPr>
        <w:jc w:val="center"/>
        <w:rPr>
          <w:b/>
          <w:sz w:val="30"/>
          <w:szCs w:val="30"/>
        </w:rPr>
      </w:pPr>
      <w:r>
        <w:rPr>
          <w:b/>
          <w:sz w:val="30"/>
          <w:szCs w:val="30"/>
        </w:rPr>
        <w:t>ammodernamento del Parco Fuori Muro a Genov</w:t>
      </w:r>
      <w:r w:rsidR="00346B90">
        <w:rPr>
          <w:b/>
          <w:sz w:val="30"/>
          <w:szCs w:val="30"/>
        </w:rPr>
        <w:t>a.</w:t>
      </w:r>
    </w:p>
    <w:p w14:paraId="3611B4D6" w14:textId="3C1D1273" w:rsidR="00A967B9" w:rsidRDefault="00000000">
      <w:pPr>
        <w:jc w:val="center"/>
        <w:rPr>
          <w:b/>
          <w:sz w:val="30"/>
          <w:szCs w:val="30"/>
        </w:rPr>
      </w:pPr>
      <w:r>
        <w:rPr>
          <w:b/>
          <w:sz w:val="30"/>
          <w:szCs w:val="30"/>
        </w:rPr>
        <w:t>Progetto dal valore complessivo di oltre 30 milioni di Euro</w:t>
      </w:r>
    </w:p>
    <w:p w14:paraId="60533C8C" w14:textId="77777777" w:rsidR="00A967B9" w:rsidRDefault="00A967B9">
      <w:pPr>
        <w:jc w:val="center"/>
        <w:rPr>
          <w:b/>
          <w:sz w:val="30"/>
          <w:szCs w:val="30"/>
        </w:rPr>
      </w:pPr>
    </w:p>
    <w:p w14:paraId="7446B9A6" w14:textId="77777777" w:rsidR="00A967B9" w:rsidRDefault="00000000">
      <w:pPr>
        <w:jc w:val="center"/>
      </w:pPr>
      <w:r>
        <w:rPr>
          <w:i/>
          <w:sz w:val="22"/>
          <w:szCs w:val="22"/>
        </w:rPr>
        <w:t xml:space="preserve">L’intervento riguarda la realizzazione di </w:t>
      </w:r>
      <w:proofErr w:type="gramStart"/>
      <w:r>
        <w:rPr>
          <w:i/>
          <w:sz w:val="22"/>
          <w:szCs w:val="22"/>
        </w:rPr>
        <w:t>7</w:t>
      </w:r>
      <w:proofErr w:type="gramEnd"/>
      <w:r>
        <w:rPr>
          <w:i/>
          <w:sz w:val="22"/>
          <w:szCs w:val="22"/>
        </w:rPr>
        <w:t xml:space="preserve"> binari che sostituiranno alcune strutture obsolete dello scalo merci, con l’utilizzo di tecnologie innovative, materiali e processi sostenibili e massima attenzione alla sicurezza</w:t>
      </w:r>
    </w:p>
    <w:p w14:paraId="584CF9A2" w14:textId="77777777" w:rsidR="00A967B9" w:rsidRDefault="00A967B9">
      <w:pPr>
        <w:jc w:val="both"/>
        <w:rPr>
          <w:i/>
        </w:rPr>
      </w:pPr>
    </w:p>
    <w:p w14:paraId="1C119E16" w14:textId="77777777" w:rsidR="00A967B9" w:rsidRDefault="00000000">
      <w:pPr>
        <w:jc w:val="both"/>
        <w:rPr>
          <w:highlight w:val="white"/>
        </w:rPr>
      </w:pPr>
      <w:r>
        <w:rPr>
          <w:i/>
        </w:rPr>
        <w:t xml:space="preserve">Monopoli (Bari), </w:t>
      </w:r>
      <w:r>
        <w:rPr>
          <w:i/>
          <w:highlight w:val="white"/>
        </w:rPr>
        <w:t>19</w:t>
      </w:r>
      <w:r>
        <w:rPr>
          <w:i/>
        </w:rPr>
        <w:t xml:space="preserve"> giugno 2024 –</w:t>
      </w:r>
      <w:r>
        <w:t xml:space="preserve"> </w:t>
      </w:r>
      <w:r>
        <w:rPr>
          <w:b/>
        </w:rPr>
        <w:t>Manelli Impresa S.p.A.</w:t>
      </w:r>
      <w:r>
        <w:t xml:space="preserve">, primario </w:t>
      </w:r>
      <w:r>
        <w:rPr>
          <w:i/>
        </w:rPr>
        <w:t>player</w:t>
      </w:r>
      <w:r>
        <w:t xml:space="preserve"> nel settore delle costruzioni generali, a capo di un gruppo attivo nell’esecuzione di appalti infrastrutturali e di opere edili nazionali e internazionali, ha ottenuto l’</w:t>
      </w:r>
      <w:r>
        <w:rPr>
          <w:b/>
        </w:rPr>
        <w:t>aggiudicazione di una nuova commessa da RFI - Rete Ferroviaria Italiana.</w:t>
      </w:r>
      <w:r>
        <w:t xml:space="preserve"> L'importo dei lavori di competenza di Manelli Impresa è pari a </w:t>
      </w:r>
      <w:proofErr w:type="gramStart"/>
      <w:r>
        <w:rPr>
          <w:b/>
        </w:rPr>
        <w:t>Euro</w:t>
      </w:r>
      <w:proofErr w:type="gramEnd"/>
      <w:r>
        <w:rPr>
          <w:b/>
        </w:rPr>
        <w:t xml:space="preserve"> 24,0 milioni, corrispondente al 78,28% dell’appalto. </w:t>
      </w:r>
      <w:r>
        <w:t xml:space="preserve">Il progetto Parco Fuori Muro porterà a un porto di Genova più efficiente per opera di un sistema ferroviario automatizzato che migliorerà la gestione del traffico merci. Grazie all'automazione del Parco Fuori Muro, il porto di Genova avrà un sistema ferroviario più moderno e performante per il trasporto merci. L’intervento </w:t>
      </w:r>
      <w:r>
        <w:rPr>
          <w:highlight w:val="white"/>
        </w:rPr>
        <w:t>rappresenta un ulteriore tassello del piano di potenziamento e ammodernamento delle infrastrutture ferroviarie che interessano il porto di Genova nel suo complesso.</w:t>
      </w:r>
    </w:p>
    <w:p w14:paraId="6AEA6A7C" w14:textId="77777777" w:rsidR="00A967B9" w:rsidRDefault="00A967B9">
      <w:pPr>
        <w:jc w:val="both"/>
        <w:rPr>
          <w:highlight w:val="white"/>
        </w:rPr>
      </w:pPr>
    </w:p>
    <w:p w14:paraId="3E04159A" w14:textId="77777777" w:rsidR="00A967B9" w:rsidRDefault="00000000">
      <w:pPr>
        <w:jc w:val="both"/>
        <w:rPr>
          <w:highlight w:val="white"/>
        </w:rPr>
      </w:pPr>
      <w:r>
        <w:rPr>
          <w:rFonts w:ascii="Arial" w:eastAsia="Arial" w:hAnsi="Arial" w:cs="Arial"/>
          <w:color w:val="222222"/>
          <w:highlight w:val="white"/>
        </w:rPr>
        <w:t>“</w:t>
      </w:r>
      <w:r>
        <w:rPr>
          <w:rFonts w:ascii="Arial" w:eastAsia="Arial" w:hAnsi="Arial" w:cs="Arial"/>
          <w:i/>
          <w:color w:val="222222"/>
          <w:highlight w:val="white"/>
        </w:rPr>
        <w:t>Siamo felici di poter gestire un altro progetto in ambito ferroviario/intermodale, nel quale Manelli Impresa esprime ormai una specializzazione molto verticale”</w:t>
      </w:r>
      <w:r>
        <w:rPr>
          <w:rFonts w:ascii="Arial" w:eastAsia="Arial" w:hAnsi="Arial" w:cs="Arial"/>
          <w:color w:val="222222"/>
          <w:highlight w:val="white"/>
        </w:rPr>
        <w:t xml:space="preserve"> ha dichiarato </w:t>
      </w:r>
      <w:r>
        <w:rPr>
          <w:rFonts w:ascii="Arial" w:eastAsia="Arial" w:hAnsi="Arial" w:cs="Arial"/>
          <w:b/>
          <w:color w:val="222222"/>
          <w:highlight w:val="white"/>
        </w:rPr>
        <w:t>Orazio Previtera, Direttore Gare del Gruppo Manelli.</w:t>
      </w:r>
      <w:r>
        <w:rPr>
          <w:rFonts w:ascii="Arial" w:eastAsia="Arial" w:hAnsi="Arial" w:cs="Arial"/>
          <w:color w:val="222222"/>
          <w:highlight w:val="white"/>
        </w:rPr>
        <w:t xml:space="preserve"> “</w:t>
      </w:r>
      <w:r>
        <w:rPr>
          <w:rFonts w:ascii="Arial" w:eastAsia="Arial" w:hAnsi="Arial" w:cs="Arial"/>
          <w:i/>
          <w:color w:val="222222"/>
          <w:highlight w:val="white"/>
        </w:rPr>
        <w:t>La messa a disposizione delle nostre tecnologie sostenibili e di soluzioni tecniche innovative e performanti capaci di apportare delle migliorie notevoli sia al cantiere sia all’intervento è stata fondamentale per l’ottenimento dell’aggiudicazione</w:t>
      </w:r>
      <w:r>
        <w:rPr>
          <w:rFonts w:ascii="Arial" w:eastAsia="Arial" w:hAnsi="Arial" w:cs="Arial"/>
          <w:color w:val="222222"/>
          <w:highlight w:val="white"/>
        </w:rPr>
        <w:t>.”</w:t>
      </w:r>
    </w:p>
    <w:p w14:paraId="3DBD86D8" w14:textId="77777777" w:rsidR="00A967B9" w:rsidRDefault="00A967B9">
      <w:pPr>
        <w:jc w:val="both"/>
      </w:pPr>
    </w:p>
    <w:p w14:paraId="2AEAD467" w14:textId="77777777" w:rsidR="00A967B9" w:rsidRDefault="00000000">
      <w:pPr>
        <w:jc w:val="both"/>
      </w:pPr>
      <w:r>
        <w:rPr>
          <w:u w:val="single"/>
        </w:rPr>
        <w:t xml:space="preserve">I dettagli dell’aggiudicazione </w:t>
      </w:r>
      <w:r>
        <w:t xml:space="preserve">- La commessa aggiudicata riguarda la progettazione esecutiva e l’esecuzione in appalto multidisciplinare dei lavori di adeguamento del Parco Fuori Muro nel Bacino portuale di Genova Sampierdarena. L'intervento, la cui </w:t>
      </w:r>
      <w:r>
        <w:rPr>
          <w:b/>
        </w:rPr>
        <w:t>durata stimata è di 24 mesi</w:t>
      </w:r>
      <w:r>
        <w:t xml:space="preserve">, prevede la realizzazione di </w:t>
      </w:r>
      <w:r>
        <w:rPr>
          <w:b/>
        </w:rPr>
        <w:t xml:space="preserve">7 binari lunghi 750 metri </w:t>
      </w:r>
      <w:r>
        <w:t xml:space="preserve">che andranno a </w:t>
      </w:r>
      <w:r>
        <w:rPr>
          <w:b/>
        </w:rPr>
        <w:t>sostituire quello che è l'attuale scalo merci,</w:t>
      </w:r>
      <w:r>
        <w:t> composto da un numero maggiore di binari ma ormai obsoleti e non adatti agli standard. I nuovi binari, al contrario di quelli esistenti, saranno adatti al passaggio e alla sosta di treni completi a modulo europeo.</w:t>
      </w:r>
      <w:r>
        <w:rPr>
          <w:highlight w:val="white"/>
        </w:rPr>
        <w:t xml:space="preserve"> </w:t>
      </w:r>
      <w:r>
        <w:rPr>
          <w:highlight w:val="white"/>
        </w:rPr>
        <w:br/>
      </w:r>
      <w:r>
        <w:rPr>
          <w:highlight w:val="white"/>
        </w:rPr>
        <w:br/>
      </w:r>
    </w:p>
    <w:p w14:paraId="0DE33549" w14:textId="77777777" w:rsidR="00A967B9" w:rsidRDefault="00000000">
      <w:pPr>
        <w:jc w:val="center"/>
      </w:pPr>
      <w:r>
        <w:t>***</w:t>
      </w:r>
    </w:p>
    <w:p w14:paraId="607FD808" w14:textId="77777777" w:rsidR="00A967B9" w:rsidRDefault="00A967B9">
      <w:pPr>
        <w:rPr>
          <w:b/>
          <w:sz w:val="20"/>
          <w:szCs w:val="20"/>
        </w:rPr>
      </w:pPr>
    </w:p>
    <w:p w14:paraId="238F92AF" w14:textId="77777777" w:rsidR="00A967B9" w:rsidRDefault="00000000">
      <w:pPr>
        <w:jc w:val="both"/>
        <w:rPr>
          <w:color w:val="000000"/>
          <w:sz w:val="20"/>
          <w:szCs w:val="20"/>
        </w:rPr>
      </w:pPr>
      <w:r>
        <w:rPr>
          <w:b/>
          <w:sz w:val="20"/>
          <w:szCs w:val="20"/>
        </w:rPr>
        <w:t>Manelli Impresa S.p.A.</w:t>
      </w:r>
      <w:r>
        <w:rPr>
          <w:sz w:val="20"/>
          <w:szCs w:val="20"/>
        </w:rPr>
        <w:t xml:space="preserve"> </w:t>
      </w:r>
      <w:r>
        <w:rPr>
          <w:color w:val="000000"/>
          <w:sz w:val="20"/>
          <w:szCs w:val="20"/>
        </w:rPr>
        <w:t xml:space="preserve">è un primario </w:t>
      </w:r>
      <w:r>
        <w:rPr>
          <w:i/>
          <w:sz w:val="20"/>
          <w:szCs w:val="20"/>
        </w:rPr>
        <w:t>player</w:t>
      </w:r>
      <w:r>
        <w:rPr>
          <w:i/>
          <w:color w:val="000000"/>
          <w:sz w:val="20"/>
          <w:szCs w:val="20"/>
        </w:rPr>
        <w:t xml:space="preserve"> </w:t>
      </w:r>
      <w:r>
        <w:rPr>
          <w:color w:val="000000"/>
          <w:sz w:val="20"/>
          <w:szCs w:val="20"/>
        </w:rPr>
        <w:t>nel settore delle costruzioni generali, che vanta un'esperienza consolidata nello sviluppo di progetti complessi. Il Gruppo è composto da imprese specializzate nella costruzione di opere chiave per la società moderna, identifica il suo core business nel settore delle infrastrutture, dell’edilizia pubblica e dell’edilizia privata.</w:t>
      </w:r>
      <w:r>
        <w:rPr>
          <w:sz w:val="20"/>
          <w:szCs w:val="20"/>
        </w:rPr>
        <w:t xml:space="preserve"> </w:t>
      </w:r>
      <w:hyperlink r:id="rId7">
        <w:r>
          <w:rPr>
            <w:color w:val="1155CC"/>
            <w:sz w:val="20"/>
            <w:szCs w:val="20"/>
            <w:u w:val="single"/>
          </w:rPr>
          <w:t>www.manelligroup.com</w:t>
        </w:r>
      </w:hyperlink>
      <w:r>
        <w:rPr>
          <w:sz w:val="20"/>
          <w:szCs w:val="20"/>
        </w:rPr>
        <w:t xml:space="preserve"> </w:t>
      </w:r>
    </w:p>
    <w:p w14:paraId="55FB0D01" w14:textId="77777777" w:rsidR="00A967B9" w:rsidRDefault="00A967B9">
      <w:pPr>
        <w:jc w:val="both"/>
        <w:rPr>
          <w:color w:val="000000"/>
          <w:sz w:val="20"/>
          <w:szCs w:val="20"/>
        </w:rPr>
      </w:pPr>
    </w:p>
    <w:p w14:paraId="1B2EB981" w14:textId="77777777" w:rsidR="00A967B9" w:rsidRDefault="00A967B9">
      <w:pPr>
        <w:jc w:val="both"/>
        <w:rPr>
          <w:color w:val="000000"/>
          <w:sz w:val="20"/>
          <w:szCs w:val="20"/>
        </w:rPr>
      </w:pPr>
    </w:p>
    <w:p w14:paraId="6A8F510B" w14:textId="77777777" w:rsidR="00A967B9" w:rsidRDefault="00A967B9">
      <w:pPr>
        <w:jc w:val="both"/>
        <w:rPr>
          <w:color w:val="000000"/>
          <w:sz w:val="20"/>
          <w:szCs w:val="20"/>
        </w:rPr>
      </w:pPr>
    </w:p>
    <w:tbl>
      <w:tblPr>
        <w:tblStyle w:val="a2"/>
        <w:tblW w:w="91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75"/>
        <w:gridCol w:w="4560"/>
      </w:tblGrid>
      <w:tr w:rsidR="00A967B9" w14:paraId="5900CBA0" w14:textId="77777777">
        <w:trPr>
          <w:trHeight w:val="255"/>
        </w:trPr>
        <w:tc>
          <w:tcPr>
            <w:tcW w:w="4575" w:type="dxa"/>
            <w:tcBorders>
              <w:top w:val="nil"/>
              <w:left w:val="nil"/>
              <w:bottom w:val="nil"/>
              <w:right w:val="nil"/>
            </w:tcBorders>
            <w:tcMar>
              <w:top w:w="0" w:type="dxa"/>
              <w:left w:w="100" w:type="dxa"/>
              <w:bottom w:w="0" w:type="dxa"/>
              <w:right w:w="100" w:type="dxa"/>
            </w:tcMar>
          </w:tcPr>
          <w:p w14:paraId="17250244" w14:textId="77777777" w:rsidR="00A967B9" w:rsidRDefault="00000000">
            <w:pPr>
              <w:spacing w:line="276" w:lineRule="auto"/>
              <w:jc w:val="both"/>
              <w:rPr>
                <w:b/>
                <w:color w:val="000000"/>
                <w:sz w:val="20"/>
                <w:szCs w:val="20"/>
              </w:rPr>
            </w:pPr>
            <w:r>
              <w:rPr>
                <w:b/>
                <w:color w:val="000000"/>
                <w:sz w:val="20"/>
                <w:szCs w:val="20"/>
              </w:rPr>
              <w:lastRenderedPageBreak/>
              <w:t>Contatti</w:t>
            </w:r>
          </w:p>
        </w:tc>
        <w:tc>
          <w:tcPr>
            <w:tcW w:w="4560" w:type="dxa"/>
            <w:tcBorders>
              <w:top w:val="nil"/>
              <w:left w:val="nil"/>
              <w:bottom w:val="nil"/>
              <w:right w:val="nil"/>
            </w:tcBorders>
            <w:tcMar>
              <w:top w:w="0" w:type="dxa"/>
              <w:left w:w="100" w:type="dxa"/>
              <w:bottom w:w="0" w:type="dxa"/>
              <w:right w:w="100" w:type="dxa"/>
            </w:tcMar>
          </w:tcPr>
          <w:p w14:paraId="01D4BA6E" w14:textId="77777777" w:rsidR="00A967B9" w:rsidRDefault="00000000">
            <w:pPr>
              <w:spacing w:line="276" w:lineRule="auto"/>
              <w:jc w:val="both"/>
              <w:rPr>
                <w:color w:val="000000"/>
                <w:sz w:val="20"/>
                <w:szCs w:val="20"/>
              </w:rPr>
            </w:pPr>
            <w:r>
              <w:rPr>
                <w:color w:val="000000"/>
                <w:sz w:val="20"/>
                <w:szCs w:val="20"/>
              </w:rPr>
              <w:t xml:space="preserve"> </w:t>
            </w:r>
          </w:p>
        </w:tc>
      </w:tr>
      <w:tr w:rsidR="00A967B9" w14:paraId="26150338" w14:textId="77777777">
        <w:trPr>
          <w:trHeight w:val="405"/>
        </w:trPr>
        <w:tc>
          <w:tcPr>
            <w:tcW w:w="4575" w:type="dxa"/>
            <w:tcBorders>
              <w:top w:val="nil"/>
              <w:left w:val="nil"/>
              <w:bottom w:val="nil"/>
              <w:right w:val="nil"/>
            </w:tcBorders>
            <w:tcMar>
              <w:top w:w="0" w:type="dxa"/>
              <w:left w:w="100" w:type="dxa"/>
              <w:bottom w:w="0" w:type="dxa"/>
              <w:right w:w="100" w:type="dxa"/>
            </w:tcMar>
          </w:tcPr>
          <w:p w14:paraId="0E90A5C7" w14:textId="77777777" w:rsidR="00A967B9" w:rsidRDefault="00000000">
            <w:pPr>
              <w:spacing w:line="276" w:lineRule="auto"/>
              <w:jc w:val="both"/>
              <w:rPr>
                <w:b/>
                <w:color w:val="000000"/>
                <w:sz w:val="20"/>
                <w:szCs w:val="20"/>
              </w:rPr>
            </w:pPr>
            <w:r>
              <w:rPr>
                <w:b/>
                <w:color w:val="000000"/>
                <w:sz w:val="20"/>
                <w:szCs w:val="20"/>
              </w:rPr>
              <w:t>Società</w:t>
            </w:r>
          </w:p>
          <w:p w14:paraId="5E3475F1" w14:textId="77777777" w:rsidR="00A967B9" w:rsidRDefault="00000000">
            <w:pPr>
              <w:spacing w:line="276" w:lineRule="auto"/>
              <w:jc w:val="both"/>
              <w:rPr>
                <w:b/>
                <w:color w:val="000000"/>
                <w:sz w:val="20"/>
                <w:szCs w:val="20"/>
              </w:rPr>
            </w:pPr>
            <w:r>
              <w:rPr>
                <w:b/>
                <w:color w:val="000000"/>
                <w:sz w:val="20"/>
                <w:szCs w:val="20"/>
              </w:rPr>
              <w:t>Manelli Impresa S.p.A.</w:t>
            </w:r>
          </w:p>
        </w:tc>
        <w:tc>
          <w:tcPr>
            <w:tcW w:w="4560" w:type="dxa"/>
            <w:tcBorders>
              <w:top w:val="nil"/>
              <w:left w:val="nil"/>
              <w:bottom w:val="nil"/>
              <w:right w:val="nil"/>
            </w:tcBorders>
            <w:tcMar>
              <w:top w:w="0" w:type="dxa"/>
              <w:left w:w="100" w:type="dxa"/>
              <w:bottom w:w="0" w:type="dxa"/>
              <w:right w:w="100" w:type="dxa"/>
            </w:tcMar>
          </w:tcPr>
          <w:p w14:paraId="1D9D96AA" w14:textId="77777777" w:rsidR="00A967B9" w:rsidRDefault="00000000">
            <w:pPr>
              <w:spacing w:line="276" w:lineRule="auto"/>
              <w:jc w:val="both"/>
              <w:rPr>
                <w:b/>
                <w:color w:val="000000"/>
                <w:sz w:val="20"/>
                <w:szCs w:val="20"/>
              </w:rPr>
            </w:pPr>
            <w:r>
              <w:rPr>
                <w:b/>
                <w:color w:val="000000"/>
                <w:sz w:val="20"/>
                <w:szCs w:val="20"/>
              </w:rPr>
              <w:t>Media Relations Consultant</w:t>
            </w:r>
          </w:p>
          <w:p w14:paraId="41A9B1C1" w14:textId="77777777" w:rsidR="00A967B9" w:rsidRDefault="00000000">
            <w:pPr>
              <w:spacing w:line="276" w:lineRule="auto"/>
              <w:jc w:val="both"/>
              <w:rPr>
                <w:b/>
                <w:color w:val="000000"/>
                <w:sz w:val="20"/>
                <w:szCs w:val="20"/>
              </w:rPr>
            </w:pPr>
            <w:r>
              <w:rPr>
                <w:b/>
                <w:color w:val="000000"/>
                <w:sz w:val="20"/>
                <w:szCs w:val="20"/>
              </w:rPr>
              <w:t>TWIN</w:t>
            </w:r>
          </w:p>
        </w:tc>
      </w:tr>
      <w:tr w:rsidR="00A967B9" w14:paraId="3AD7BA0E" w14:textId="77777777">
        <w:trPr>
          <w:trHeight w:val="1020"/>
        </w:trPr>
        <w:tc>
          <w:tcPr>
            <w:tcW w:w="4575" w:type="dxa"/>
            <w:tcBorders>
              <w:top w:val="nil"/>
              <w:left w:val="nil"/>
              <w:bottom w:val="nil"/>
              <w:right w:val="nil"/>
            </w:tcBorders>
            <w:tcMar>
              <w:top w:w="0" w:type="dxa"/>
              <w:left w:w="100" w:type="dxa"/>
              <w:bottom w:w="0" w:type="dxa"/>
              <w:right w:w="100" w:type="dxa"/>
            </w:tcMar>
          </w:tcPr>
          <w:p w14:paraId="0F294779" w14:textId="77777777" w:rsidR="00A967B9" w:rsidRPr="00346B90" w:rsidRDefault="00000000">
            <w:pPr>
              <w:spacing w:line="276" w:lineRule="auto"/>
              <w:jc w:val="both"/>
              <w:rPr>
                <w:color w:val="000000"/>
                <w:sz w:val="20"/>
                <w:szCs w:val="20"/>
                <w:lang w:val="en-US"/>
              </w:rPr>
            </w:pPr>
            <w:r w:rsidRPr="00346B90">
              <w:rPr>
                <w:color w:val="000000"/>
                <w:sz w:val="20"/>
                <w:szCs w:val="20"/>
                <w:lang w:val="en-US"/>
              </w:rPr>
              <w:t xml:space="preserve">Email: </w:t>
            </w:r>
            <w:hyperlink r:id="rId8">
              <w:r w:rsidRPr="00346B90">
                <w:rPr>
                  <w:color w:val="467886"/>
                  <w:sz w:val="20"/>
                  <w:szCs w:val="20"/>
                  <w:u w:val="single"/>
                  <w:lang w:val="en-US"/>
                </w:rPr>
                <w:t>communication@manelli.eu</w:t>
              </w:r>
            </w:hyperlink>
            <w:r w:rsidRPr="00346B90">
              <w:rPr>
                <w:color w:val="000000"/>
                <w:sz w:val="20"/>
                <w:szCs w:val="20"/>
                <w:lang w:val="en-US"/>
              </w:rPr>
              <w:t xml:space="preserve"> </w:t>
            </w:r>
          </w:p>
          <w:p w14:paraId="3DA7B56A" w14:textId="77777777" w:rsidR="00A967B9" w:rsidRPr="00346B90" w:rsidRDefault="00000000">
            <w:pPr>
              <w:spacing w:line="276" w:lineRule="auto"/>
              <w:jc w:val="both"/>
              <w:rPr>
                <w:color w:val="000000"/>
                <w:sz w:val="20"/>
                <w:szCs w:val="20"/>
                <w:lang w:val="en-US"/>
              </w:rPr>
            </w:pPr>
            <w:r w:rsidRPr="00346B90">
              <w:rPr>
                <w:color w:val="000000"/>
                <w:sz w:val="20"/>
                <w:szCs w:val="20"/>
                <w:lang w:val="en-US"/>
              </w:rPr>
              <w:t>Tel: +39 080 747 826</w:t>
            </w:r>
          </w:p>
          <w:p w14:paraId="65E76FC8" w14:textId="77777777" w:rsidR="00A967B9" w:rsidRPr="00346B90" w:rsidRDefault="00000000">
            <w:pPr>
              <w:spacing w:line="276" w:lineRule="auto"/>
              <w:jc w:val="both"/>
              <w:rPr>
                <w:color w:val="000000"/>
                <w:sz w:val="20"/>
                <w:szCs w:val="20"/>
                <w:lang w:val="en-US"/>
              </w:rPr>
            </w:pPr>
            <w:r w:rsidRPr="00346B90">
              <w:rPr>
                <w:color w:val="000000"/>
                <w:sz w:val="20"/>
                <w:szCs w:val="20"/>
                <w:lang w:val="en-US"/>
              </w:rPr>
              <w:t xml:space="preserve"> </w:t>
            </w:r>
          </w:p>
        </w:tc>
        <w:tc>
          <w:tcPr>
            <w:tcW w:w="4560" w:type="dxa"/>
            <w:tcBorders>
              <w:top w:val="nil"/>
              <w:left w:val="nil"/>
              <w:bottom w:val="nil"/>
              <w:right w:val="nil"/>
            </w:tcBorders>
            <w:tcMar>
              <w:top w:w="0" w:type="dxa"/>
              <w:left w:w="100" w:type="dxa"/>
              <w:bottom w:w="0" w:type="dxa"/>
              <w:right w:w="100" w:type="dxa"/>
            </w:tcMar>
          </w:tcPr>
          <w:p w14:paraId="7AB84869" w14:textId="77777777" w:rsidR="00A967B9" w:rsidRDefault="00000000">
            <w:pPr>
              <w:spacing w:line="276" w:lineRule="auto"/>
              <w:jc w:val="both"/>
              <w:rPr>
                <w:color w:val="000000"/>
                <w:sz w:val="20"/>
                <w:szCs w:val="20"/>
              </w:rPr>
            </w:pPr>
            <w:proofErr w:type="gramStart"/>
            <w:r>
              <w:rPr>
                <w:color w:val="000000"/>
                <w:sz w:val="20"/>
                <w:szCs w:val="20"/>
              </w:rPr>
              <w:t>Email</w:t>
            </w:r>
            <w:proofErr w:type="gramEnd"/>
            <w:r>
              <w:rPr>
                <w:color w:val="000000"/>
                <w:sz w:val="20"/>
                <w:szCs w:val="20"/>
              </w:rPr>
              <w:t xml:space="preserve">: </w:t>
            </w:r>
            <w:hyperlink r:id="rId9">
              <w:r>
                <w:rPr>
                  <w:color w:val="467886"/>
                  <w:sz w:val="20"/>
                  <w:szCs w:val="20"/>
                  <w:u w:val="single"/>
                </w:rPr>
                <w:t>manelli@twin.services</w:t>
              </w:r>
            </w:hyperlink>
            <w:r>
              <w:rPr>
                <w:color w:val="000000"/>
                <w:sz w:val="20"/>
                <w:szCs w:val="20"/>
              </w:rPr>
              <w:t xml:space="preserve"> </w:t>
            </w:r>
          </w:p>
          <w:p w14:paraId="0ABECE8C" w14:textId="77777777" w:rsidR="00A967B9" w:rsidRDefault="00000000">
            <w:pPr>
              <w:spacing w:line="276" w:lineRule="auto"/>
              <w:jc w:val="both"/>
              <w:rPr>
                <w:color w:val="000000"/>
                <w:sz w:val="20"/>
                <w:szCs w:val="20"/>
              </w:rPr>
            </w:pPr>
            <w:r>
              <w:rPr>
                <w:color w:val="000000"/>
                <w:sz w:val="20"/>
                <w:szCs w:val="20"/>
              </w:rPr>
              <w:t>Chiara Bortolato</w:t>
            </w:r>
          </w:p>
          <w:p w14:paraId="550681A3" w14:textId="77777777" w:rsidR="00A967B9" w:rsidRDefault="00000000">
            <w:pPr>
              <w:spacing w:line="276" w:lineRule="auto"/>
              <w:jc w:val="both"/>
              <w:rPr>
                <w:color w:val="000000"/>
                <w:sz w:val="20"/>
                <w:szCs w:val="20"/>
              </w:rPr>
            </w:pPr>
            <w:r>
              <w:rPr>
                <w:color w:val="000000"/>
                <w:sz w:val="20"/>
                <w:szCs w:val="20"/>
              </w:rPr>
              <w:t>Tel. +39 347 8533894</w:t>
            </w:r>
          </w:p>
          <w:p w14:paraId="75A82D91" w14:textId="77777777" w:rsidR="00A967B9" w:rsidRDefault="00000000">
            <w:pPr>
              <w:spacing w:line="276" w:lineRule="auto"/>
              <w:jc w:val="both"/>
              <w:rPr>
                <w:color w:val="000000"/>
                <w:sz w:val="20"/>
                <w:szCs w:val="20"/>
              </w:rPr>
            </w:pPr>
            <w:r>
              <w:rPr>
                <w:color w:val="000000"/>
                <w:sz w:val="20"/>
                <w:szCs w:val="20"/>
              </w:rPr>
              <w:t>Morena Azzi</w:t>
            </w:r>
          </w:p>
          <w:p w14:paraId="4FE90E55" w14:textId="77777777" w:rsidR="00A967B9" w:rsidRDefault="00000000">
            <w:pPr>
              <w:spacing w:line="276" w:lineRule="auto"/>
              <w:jc w:val="both"/>
              <w:rPr>
                <w:color w:val="000000"/>
                <w:sz w:val="20"/>
                <w:szCs w:val="20"/>
              </w:rPr>
            </w:pPr>
            <w:r>
              <w:rPr>
                <w:color w:val="000000"/>
                <w:sz w:val="20"/>
                <w:szCs w:val="20"/>
              </w:rPr>
              <w:t>Tel. +39 3311070477</w:t>
            </w:r>
          </w:p>
        </w:tc>
      </w:tr>
    </w:tbl>
    <w:p w14:paraId="01098980" w14:textId="77777777" w:rsidR="00A967B9" w:rsidRDefault="00000000">
      <w:pPr>
        <w:spacing w:line="276" w:lineRule="auto"/>
        <w:jc w:val="both"/>
        <w:rPr>
          <w:color w:val="000000"/>
          <w:sz w:val="20"/>
          <w:szCs w:val="20"/>
        </w:rPr>
      </w:pPr>
      <w:r>
        <w:rPr>
          <w:color w:val="000000"/>
          <w:sz w:val="20"/>
          <w:szCs w:val="20"/>
        </w:rPr>
        <w:t xml:space="preserve"> </w:t>
      </w:r>
    </w:p>
    <w:p w14:paraId="65ECA1E1" w14:textId="77777777" w:rsidR="00A967B9" w:rsidRDefault="00000000">
      <w:pPr>
        <w:spacing w:line="276" w:lineRule="auto"/>
        <w:jc w:val="both"/>
        <w:rPr>
          <w:color w:val="000000"/>
          <w:sz w:val="20"/>
          <w:szCs w:val="20"/>
        </w:rPr>
      </w:pPr>
      <w:r>
        <w:rPr>
          <w:color w:val="000000"/>
          <w:sz w:val="20"/>
          <w:szCs w:val="20"/>
        </w:rPr>
        <w:t xml:space="preserve"> </w:t>
      </w:r>
    </w:p>
    <w:p w14:paraId="420B1F4A" w14:textId="77777777" w:rsidR="00A967B9" w:rsidRDefault="00A967B9">
      <w:pPr>
        <w:jc w:val="both"/>
        <w:rPr>
          <w:sz w:val="20"/>
          <w:szCs w:val="20"/>
        </w:rPr>
      </w:pPr>
    </w:p>
    <w:p w14:paraId="3FBC2410" w14:textId="77777777" w:rsidR="00A967B9" w:rsidRDefault="00A967B9">
      <w:pPr>
        <w:jc w:val="both"/>
        <w:rPr>
          <w:color w:val="000000"/>
          <w:sz w:val="20"/>
          <w:szCs w:val="20"/>
        </w:rPr>
      </w:pPr>
    </w:p>
    <w:p w14:paraId="2FC04CE9" w14:textId="77777777" w:rsidR="00A967B9" w:rsidRDefault="00A967B9">
      <w:pPr>
        <w:jc w:val="both"/>
        <w:rPr>
          <w:color w:val="000000"/>
          <w:sz w:val="20"/>
          <w:szCs w:val="20"/>
        </w:rPr>
      </w:pPr>
    </w:p>
    <w:p w14:paraId="7F534AFA" w14:textId="77777777" w:rsidR="00A967B9" w:rsidRDefault="00A967B9">
      <w:pPr>
        <w:jc w:val="both"/>
        <w:rPr>
          <w:color w:val="000000"/>
          <w:sz w:val="20"/>
          <w:szCs w:val="20"/>
        </w:rPr>
      </w:pPr>
    </w:p>
    <w:p w14:paraId="39704BD6" w14:textId="77777777" w:rsidR="00A967B9" w:rsidRDefault="00A967B9">
      <w:pPr>
        <w:jc w:val="both"/>
        <w:rPr>
          <w:sz w:val="16"/>
          <w:szCs w:val="16"/>
        </w:rPr>
      </w:pPr>
    </w:p>
    <w:p w14:paraId="241A23B1" w14:textId="77777777" w:rsidR="00A967B9" w:rsidRDefault="00A967B9">
      <w:pPr>
        <w:jc w:val="center"/>
      </w:pPr>
    </w:p>
    <w:sectPr w:rsidR="00A967B9">
      <w:headerReference w:type="default" r:id="rId10"/>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2A19B" w14:textId="77777777" w:rsidR="00660BAB" w:rsidRDefault="00660BAB">
      <w:r>
        <w:separator/>
      </w:r>
    </w:p>
  </w:endnote>
  <w:endnote w:type="continuationSeparator" w:id="0">
    <w:p w14:paraId="28510F34" w14:textId="77777777" w:rsidR="00660BAB" w:rsidRDefault="00660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CAB1FC29-8041-DD4C-AAA1-0166DD4CF530}"/>
    <w:embedBold r:id="rId2" w:fontKey="{CB0325FA-65C3-0C47-B6C5-E4435EB1C8A6}"/>
    <w:embedItalic r:id="rId3" w:fontKey="{0EFF7465-A969-8B4E-8666-5B43500AF902}"/>
  </w:font>
  <w:font w:name="Aptos Display">
    <w:panose1 w:val="020B0004020202020204"/>
    <w:charset w:val="00"/>
    <w:family w:val="swiss"/>
    <w:pitch w:val="variable"/>
    <w:sig w:usb0="20000287" w:usb1="00000003" w:usb2="00000000" w:usb3="00000000" w:csb0="0000019F" w:csb1="00000000"/>
    <w:embedRegular r:id="rId4" w:fontKey="{FEDBE601-1131-DC40-83AB-047940C45FA2}"/>
  </w:font>
  <w:font w:name="Times New Roman">
    <w:panose1 w:val="02020603050405020304"/>
    <w:charset w:val="00"/>
    <w:family w:val="roman"/>
    <w:pitch w:val="variable"/>
    <w:sig w:usb0="E0002EFF" w:usb1="C000785B" w:usb2="00000009" w:usb3="00000000" w:csb0="000001FF" w:csb1="00000000"/>
    <w:embedRegular r:id="rId5" w:fontKey="{9D360551-4833-664B-A30C-7921F7B6BB19}"/>
    <w:embedBold r:id="rId6" w:fontKey="{43AB8552-F057-6549-A288-D7765E69DBDB}"/>
    <w:embedItalic r:id="rId7" w:fontKey="{FC6B8991-39F4-1F42-8792-47227A616DF5}"/>
  </w:font>
  <w:font w:name="Arial">
    <w:panose1 w:val="020B0604020202020204"/>
    <w:charset w:val="00"/>
    <w:family w:val="swiss"/>
    <w:pitch w:val="variable"/>
    <w:sig w:usb0="E0002AFF" w:usb1="C0007843" w:usb2="00000009" w:usb3="00000000" w:csb0="000001FF" w:csb1="00000000"/>
    <w:embedRegular r:id="rId8" w:fontKey="{74A11F35-E4CC-584E-8147-B7B877A7D3B7}"/>
    <w:embedBold r:id="rId9" w:fontKey="{5C6D2196-B70A-7B49-AFA2-09601244D2B5}"/>
    <w:embedItalic r:id="rId10" w:fontKey="{DA3005D4-A972-094A-AC8B-880B80D69A4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D1310" w14:textId="77777777" w:rsidR="00660BAB" w:rsidRDefault="00660BAB">
      <w:r>
        <w:separator/>
      </w:r>
    </w:p>
  </w:footnote>
  <w:footnote w:type="continuationSeparator" w:id="0">
    <w:p w14:paraId="76E9F41A" w14:textId="77777777" w:rsidR="00660BAB" w:rsidRDefault="00660B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E3463" w14:textId="77777777" w:rsidR="00A967B9" w:rsidRDefault="00000000">
    <w:pPr>
      <w:pBdr>
        <w:top w:val="nil"/>
        <w:left w:val="nil"/>
        <w:bottom w:val="nil"/>
        <w:right w:val="nil"/>
        <w:between w:val="nil"/>
      </w:pBdr>
      <w:tabs>
        <w:tab w:val="center" w:pos="4819"/>
        <w:tab w:val="right" w:pos="9638"/>
      </w:tabs>
      <w:rPr>
        <w:highlight w:val="yellow"/>
      </w:rPr>
    </w:pPr>
    <w:r>
      <w:rPr>
        <w:noProof/>
      </w:rPr>
      <w:drawing>
        <wp:anchor distT="0" distB="0" distL="0" distR="0" simplePos="0" relativeHeight="251658240" behindDoc="1" locked="0" layoutInCell="1" hidden="0" allowOverlap="1" wp14:anchorId="37FD39E1" wp14:editId="08A23400">
          <wp:simplePos x="0" y="0"/>
          <wp:positionH relativeFrom="column">
            <wp:posOffset>1924050</wp:posOffset>
          </wp:positionH>
          <wp:positionV relativeFrom="paragraph">
            <wp:posOffset>66676</wp:posOffset>
          </wp:positionV>
          <wp:extent cx="2418398" cy="603253"/>
          <wp:effectExtent l="0" t="0" r="0" b="0"/>
          <wp:wrapNone/>
          <wp:docPr id="20752029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18398" cy="603253"/>
                  </a:xfrm>
                  <a:prstGeom prst="rect">
                    <a:avLst/>
                  </a:prstGeom>
                  <a:ln/>
                </pic:spPr>
              </pic:pic>
            </a:graphicData>
          </a:graphic>
        </wp:anchor>
      </w:drawing>
    </w:r>
  </w:p>
  <w:p w14:paraId="1FBC80B3" w14:textId="77777777" w:rsidR="00A967B9" w:rsidRDefault="00A967B9">
    <w:pPr>
      <w:pBdr>
        <w:top w:val="nil"/>
        <w:left w:val="nil"/>
        <w:bottom w:val="nil"/>
        <w:right w:val="nil"/>
        <w:between w:val="nil"/>
      </w:pBdr>
      <w:tabs>
        <w:tab w:val="center" w:pos="4819"/>
        <w:tab w:val="right" w:pos="9638"/>
      </w:tabs>
      <w:jc w:val="right"/>
      <w:rPr>
        <w:highlight w:val="yellow"/>
      </w:rPr>
    </w:pPr>
  </w:p>
  <w:p w14:paraId="1DA2187D" w14:textId="77777777" w:rsidR="00A967B9" w:rsidRDefault="00A967B9">
    <w:pPr>
      <w:pBdr>
        <w:top w:val="nil"/>
        <w:left w:val="nil"/>
        <w:bottom w:val="nil"/>
        <w:right w:val="nil"/>
        <w:between w:val="nil"/>
      </w:pBdr>
      <w:tabs>
        <w:tab w:val="center" w:pos="4819"/>
        <w:tab w:val="right" w:pos="9638"/>
      </w:tabs>
      <w:jc w:val="right"/>
      <w:rPr>
        <w:highlight w:val="yellow"/>
      </w:rPr>
    </w:pPr>
  </w:p>
  <w:p w14:paraId="6E92357F" w14:textId="77777777" w:rsidR="00A967B9" w:rsidRDefault="00A967B9">
    <w:pPr>
      <w:pBdr>
        <w:top w:val="nil"/>
        <w:left w:val="nil"/>
        <w:bottom w:val="nil"/>
        <w:right w:val="nil"/>
        <w:between w:val="nil"/>
      </w:pBdr>
      <w:tabs>
        <w:tab w:val="center" w:pos="4819"/>
        <w:tab w:val="right" w:pos="9638"/>
      </w:tabs>
      <w:jc w:val="right"/>
      <w:rPr>
        <w:highlight w:val="yellow"/>
      </w:rPr>
    </w:pPr>
  </w:p>
  <w:p w14:paraId="7A1B2AEA" w14:textId="77777777" w:rsidR="00A967B9" w:rsidRDefault="00A967B9">
    <w:pPr>
      <w:pBdr>
        <w:top w:val="nil"/>
        <w:left w:val="nil"/>
        <w:bottom w:val="nil"/>
        <w:right w:val="nil"/>
        <w:between w:val="nil"/>
      </w:pBdr>
      <w:tabs>
        <w:tab w:val="center" w:pos="4819"/>
        <w:tab w:val="right" w:pos="9638"/>
      </w:tabs>
      <w:jc w:val="right"/>
      <w:rPr>
        <w:highlight w:val="yellow"/>
      </w:rPr>
    </w:pPr>
  </w:p>
  <w:p w14:paraId="7F4A54DB" w14:textId="77777777" w:rsidR="00A967B9" w:rsidRDefault="00A967B9">
    <w:pPr>
      <w:pBdr>
        <w:top w:val="nil"/>
        <w:left w:val="nil"/>
        <w:bottom w:val="nil"/>
        <w:right w:val="nil"/>
        <w:between w:val="nil"/>
      </w:pBdr>
      <w:tabs>
        <w:tab w:val="center" w:pos="4819"/>
        <w:tab w:val="right" w:pos="9638"/>
      </w:tabs>
      <w:jc w:val="center"/>
      <w:rPr>
        <w:highlight w:val="yellow"/>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7B9"/>
    <w:rsid w:val="00346B90"/>
    <w:rsid w:val="00660BAB"/>
    <w:rsid w:val="00A967B9"/>
    <w:rsid w:val="00D4329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238EA632"/>
  <w15:docId w15:val="{F3817695-233C-7C4E-8FD7-FAAA1451D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D1773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D1773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D1773A"/>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D1773A"/>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D1773A"/>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D1773A"/>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D1773A"/>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D1773A"/>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D1773A"/>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D1773A"/>
    <w:pPr>
      <w:spacing w:after="80"/>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character" w:customStyle="1" w:styleId="Titolo1Carattere">
    <w:name w:val="Titolo 1 Carattere"/>
    <w:basedOn w:val="Carpredefinitoparagrafo"/>
    <w:link w:val="Titolo1"/>
    <w:uiPriority w:val="9"/>
    <w:rsid w:val="00D1773A"/>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D1773A"/>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D1773A"/>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D1773A"/>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D1773A"/>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D1773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D1773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D1773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D1773A"/>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D1773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pPr>
      <w:pBdr>
        <w:top w:val="nil"/>
        <w:left w:val="nil"/>
        <w:bottom w:val="nil"/>
        <w:right w:val="nil"/>
        <w:between w:val="nil"/>
      </w:pBdr>
      <w:spacing w:after="160"/>
    </w:pPr>
    <w:rPr>
      <w:color w:val="595959"/>
      <w:sz w:val="28"/>
      <w:szCs w:val="28"/>
    </w:rPr>
  </w:style>
  <w:style w:type="character" w:customStyle="1" w:styleId="SottotitoloCarattere">
    <w:name w:val="Sottotitolo Carattere"/>
    <w:basedOn w:val="Carpredefinitoparagrafo"/>
    <w:link w:val="Sottotitolo"/>
    <w:uiPriority w:val="11"/>
    <w:rsid w:val="00D1773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D1773A"/>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D1773A"/>
    <w:rPr>
      <w:i/>
      <w:iCs/>
      <w:color w:val="404040" w:themeColor="text1" w:themeTint="BF"/>
    </w:rPr>
  </w:style>
  <w:style w:type="paragraph" w:styleId="Paragrafoelenco">
    <w:name w:val="List Paragraph"/>
    <w:basedOn w:val="Normale"/>
    <w:uiPriority w:val="34"/>
    <w:qFormat/>
    <w:rsid w:val="00D1773A"/>
    <w:pPr>
      <w:ind w:left="720"/>
      <w:contextualSpacing/>
    </w:pPr>
  </w:style>
  <w:style w:type="character" w:styleId="Enfasiintensa">
    <w:name w:val="Intense Emphasis"/>
    <w:basedOn w:val="Carpredefinitoparagrafo"/>
    <w:uiPriority w:val="21"/>
    <w:qFormat/>
    <w:rsid w:val="00D1773A"/>
    <w:rPr>
      <w:i/>
      <w:iCs/>
      <w:color w:val="0F4761" w:themeColor="accent1" w:themeShade="BF"/>
    </w:rPr>
  </w:style>
  <w:style w:type="paragraph" w:styleId="Citazioneintensa">
    <w:name w:val="Intense Quote"/>
    <w:basedOn w:val="Normale"/>
    <w:next w:val="Normale"/>
    <w:link w:val="CitazioneintensaCarattere"/>
    <w:uiPriority w:val="30"/>
    <w:qFormat/>
    <w:rsid w:val="00D177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D1773A"/>
    <w:rPr>
      <w:i/>
      <w:iCs/>
      <w:color w:val="0F4761" w:themeColor="accent1" w:themeShade="BF"/>
    </w:rPr>
  </w:style>
  <w:style w:type="character" w:styleId="Riferimentointenso">
    <w:name w:val="Intense Reference"/>
    <w:basedOn w:val="Carpredefinitoparagrafo"/>
    <w:uiPriority w:val="32"/>
    <w:qFormat/>
    <w:rsid w:val="00D1773A"/>
    <w:rPr>
      <w:b/>
      <w:bCs/>
      <w:smallCaps/>
      <w:color w:val="0F4761" w:themeColor="accent1" w:themeShade="BF"/>
      <w:spacing w:val="5"/>
    </w:rPr>
  </w:style>
  <w:style w:type="paragraph" w:styleId="Intestazione">
    <w:name w:val="header"/>
    <w:basedOn w:val="Normale"/>
    <w:link w:val="IntestazioneCarattere"/>
    <w:uiPriority w:val="99"/>
    <w:unhideWhenUsed/>
    <w:rsid w:val="0066553C"/>
    <w:pPr>
      <w:tabs>
        <w:tab w:val="center" w:pos="4819"/>
        <w:tab w:val="right" w:pos="9638"/>
      </w:tabs>
    </w:pPr>
  </w:style>
  <w:style w:type="character" w:customStyle="1" w:styleId="IntestazioneCarattere">
    <w:name w:val="Intestazione Carattere"/>
    <w:basedOn w:val="Carpredefinitoparagrafo"/>
    <w:link w:val="Intestazione"/>
    <w:uiPriority w:val="99"/>
    <w:rsid w:val="0066553C"/>
  </w:style>
  <w:style w:type="paragraph" w:styleId="Pidipagina">
    <w:name w:val="footer"/>
    <w:basedOn w:val="Normale"/>
    <w:link w:val="PidipaginaCarattere"/>
    <w:uiPriority w:val="99"/>
    <w:unhideWhenUsed/>
    <w:rsid w:val="0066553C"/>
    <w:pPr>
      <w:tabs>
        <w:tab w:val="center" w:pos="4819"/>
        <w:tab w:val="right" w:pos="9638"/>
      </w:tabs>
    </w:pPr>
  </w:style>
  <w:style w:type="character" w:customStyle="1" w:styleId="PidipaginaCarattere">
    <w:name w:val="Piè di pagina Carattere"/>
    <w:basedOn w:val="Carpredefinitoparagrafo"/>
    <w:link w:val="Pidipagina"/>
    <w:uiPriority w:val="99"/>
    <w:rsid w:val="0066553C"/>
  </w:style>
  <w:style w:type="character" w:styleId="Rimandocommento">
    <w:name w:val="annotation reference"/>
    <w:basedOn w:val="Carpredefinitoparagrafo"/>
    <w:uiPriority w:val="99"/>
    <w:semiHidden/>
    <w:unhideWhenUsed/>
    <w:rsid w:val="00981E2E"/>
    <w:rPr>
      <w:sz w:val="16"/>
      <w:szCs w:val="16"/>
    </w:rPr>
  </w:style>
  <w:style w:type="paragraph" w:styleId="Testocommento">
    <w:name w:val="annotation text"/>
    <w:basedOn w:val="Normale"/>
    <w:link w:val="TestocommentoCarattere"/>
    <w:uiPriority w:val="99"/>
    <w:unhideWhenUsed/>
    <w:rsid w:val="00981E2E"/>
    <w:rPr>
      <w:sz w:val="20"/>
      <w:szCs w:val="20"/>
    </w:rPr>
  </w:style>
  <w:style w:type="character" w:customStyle="1" w:styleId="TestocommentoCarattere">
    <w:name w:val="Testo commento Carattere"/>
    <w:basedOn w:val="Carpredefinitoparagrafo"/>
    <w:link w:val="Testocommento"/>
    <w:uiPriority w:val="99"/>
    <w:rsid w:val="00981E2E"/>
    <w:rPr>
      <w:sz w:val="20"/>
      <w:szCs w:val="20"/>
    </w:rPr>
  </w:style>
  <w:style w:type="paragraph" w:styleId="Soggettocommento">
    <w:name w:val="annotation subject"/>
    <w:basedOn w:val="Testocommento"/>
    <w:next w:val="Testocommento"/>
    <w:link w:val="SoggettocommentoCarattere"/>
    <w:uiPriority w:val="99"/>
    <w:semiHidden/>
    <w:unhideWhenUsed/>
    <w:rsid w:val="00981E2E"/>
    <w:rPr>
      <w:b/>
      <w:bCs/>
    </w:rPr>
  </w:style>
  <w:style w:type="character" w:customStyle="1" w:styleId="SoggettocommentoCarattere">
    <w:name w:val="Soggetto commento Carattere"/>
    <w:basedOn w:val="TestocommentoCarattere"/>
    <w:link w:val="Soggettocommento"/>
    <w:uiPriority w:val="99"/>
    <w:semiHidden/>
    <w:rsid w:val="00981E2E"/>
    <w:rPr>
      <w:b/>
      <w:bCs/>
      <w:sz w:val="20"/>
      <w:szCs w:val="20"/>
    </w:rPr>
  </w:style>
  <w:style w:type="character" w:styleId="Collegamentoipertestuale">
    <w:name w:val="Hyperlink"/>
    <w:basedOn w:val="Carpredefinitoparagrafo"/>
    <w:uiPriority w:val="99"/>
    <w:unhideWhenUsed/>
    <w:rsid w:val="00851DD6"/>
    <w:rPr>
      <w:color w:val="467886" w:themeColor="hyperlink"/>
      <w:u w:val="single"/>
    </w:rPr>
  </w:style>
  <w:style w:type="character" w:styleId="Menzionenonrisolta">
    <w:name w:val="Unresolved Mention"/>
    <w:basedOn w:val="Carpredefinitoparagrafo"/>
    <w:uiPriority w:val="99"/>
    <w:semiHidden/>
    <w:unhideWhenUsed/>
    <w:rsid w:val="00851DD6"/>
    <w:rPr>
      <w:color w:val="605E5C"/>
      <w:shd w:val="clear" w:color="auto" w:fill="E1DFDD"/>
    </w:rPr>
  </w:style>
  <w:style w:type="paragraph" w:styleId="Revisione">
    <w:name w:val="Revision"/>
    <w:hidden/>
    <w:uiPriority w:val="99"/>
    <w:semiHidden/>
    <w:rsid w:val="00FE3A0D"/>
  </w:style>
  <w:style w:type="table" w:customStyle="1" w:styleId="a">
    <w:basedOn w:val="TableNormal3"/>
    <w:tblPr>
      <w:tblStyleRowBandSize w:val="1"/>
      <w:tblStyleColBandSize w:val="1"/>
      <w:tblCellMar>
        <w:top w:w="100" w:type="dxa"/>
        <w:left w:w="100" w:type="dxa"/>
        <w:bottom w:w="100" w:type="dxa"/>
        <w:right w:w="100"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character" w:customStyle="1" w:styleId="white-space-pre">
    <w:name w:val="white-space-pre"/>
    <w:basedOn w:val="Carpredefinitoparagrafo"/>
    <w:rsid w:val="008E481F"/>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communication@manelli.eu" TargetMode="External"/><Relationship Id="rId3" Type="http://schemas.openxmlformats.org/officeDocument/2006/relationships/settings" Target="settings.xml"/><Relationship Id="rId7" Type="http://schemas.openxmlformats.org/officeDocument/2006/relationships/hyperlink" Target="http://www.manelligroup.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anelli@twin.servic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Jp/jiT6MwzTwVTZ2MyOX3Ce7tg==">CgMxLjA4AHIhMU93X1NVWVpGQ2lVM2c1Mkk2V2R1OEtSVWdiUV9tV3N2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480</Words>
  <Characters>2737</Characters>
  <Application>Microsoft Office Word</Application>
  <DocSecurity>0</DocSecurity>
  <Lines>22</Lines>
  <Paragraphs>6</Paragraphs>
  <ScaleCrop>false</ScaleCrop>
  <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Amministrazione T.W.I.N</dc:creator>
  <cp:lastModifiedBy>Amministrazione T.W.I.N</cp:lastModifiedBy>
  <cp:revision>2</cp:revision>
  <dcterms:created xsi:type="dcterms:W3CDTF">2024-06-12T10:08:00Z</dcterms:created>
  <dcterms:modified xsi:type="dcterms:W3CDTF">2024-06-17T15:46:00Z</dcterms:modified>
</cp:coreProperties>
</file>